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A2" w:rsidRDefault="00DD6A50">
      <w:pPr>
        <w:rPr>
          <w:rFonts w:ascii="Cambria" w:eastAsia="Times New Roman" w:hAnsi="Cambria" w:cs="Times New Roman"/>
          <w:b/>
          <w:bCs/>
          <w:color w:val="9E2A2B"/>
          <w:sz w:val="28"/>
          <w:szCs w:val="28"/>
        </w:rPr>
      </w:pPr>
      <w:r w:rsidRPr="00DA1618">
        <w:rPr>
          <w:rFonts w:ascii="Cambria" w:eastAsia="Times New Roman" w:hAnsi="Cambria" w:cs="Times New Roman"/>
          <w:b/>
          <w:bCs/>
          <w:color w:val="9E2A2B"/>
          <w:sz w:val="28"/>
          <w:szCs w:val="28"/>
        </w:rPr>
        <w:t>Hospice Rotation Goals and Objectives</w:t>
      </w:r>
    </w:p>
    <w:p w:rsidR="00DD6A50" w:rsidRDefault="00DD6A50">
      <w:pPr>
        <w:rPr>
          <w:rFonts w:ascii="Cambria" w:eastAsia="Times New Roman" w:hAnsi="Cambria" w:cs="Times New Roman"/>
          <w:b/>
          <w:bCs/>
          <w:color w:val="D78825"/>
          <w:sz w:val="24"/>
          <w:szCs w:val="24"/>
        </w:rPr>
      </w:pPr>
      <w:r w:rsidRPr="00DA1618">
        <w:rPr>
          <w:rFonts w:ascii="Cambria" w:eastAsia="Times New Roman" w:hAnsi="Cambria" w:cs="Times New Roman"/>
          <w:b/>
          <w:bCs/>
          <w:color w:val="D78825"/>
          <w:sz w:val="24"/>
          <w:szCs w:val="24"/>
        </w:rPr>
        <w:t>Sample D: Hospice Rotation Objectives Grid</w:t>
      </w:r>
    </w:p>
    <w:p w:rsidR="00DD6A50" w:rsidRDefault="00DD6A50" w:rsidP="00DD6A50">
      <w:pPr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DA1618">
        <w:rPr>
          <w:rFonts w:ascii="Calibri" w:eastAsia="Times New Roman" w:hAnsi="Calibri" w:cs="Times New Roman"/>
          <w:b/>
          <w:bCs/>
          <w:color w:val="000000"/>
        </w:rPr>
        <w:t>Hospice and Palliative Medicine Rotation Objectives</w:t>
      </w:r>
    </w:p>
    <w:p w:rsidR="00DD6A50" w:rsidRDefault="00DD6A50" w:rsidP="00DD6A50">
      <w:pPr>
        <w:spacing w:after="0"/>
        <w:rPr>
          <w:rFonts w:ascii="Calibri" w:eastAsia="Times New Roman" w:hAnsi="Calibri" w:cs="Times New Roman"/>
          <w:b/>
          <w:bCs/>
          <w:color w:val="000000"/>
          <w:u w:val="single"/>
        </w:rPr>
      </w:pPr>
      <w:r w:rsidRPr="00DA1618">
        <w:rPr>
          <w:rFonts w:ascii="Calibri" w:eastAsia="Times New Roman" w:hAnsi="Calibri" w:cs="Times New Roman"/>
          <w:b/>
          <w:bCs/>
          <w:color w:val="000000"/>
          <w:u w:val="single"/>
        </w:rPr>
        <w:t>Home Hospice</w:t>
      </w:r>
    </w:p>
    <w:p w:rsidR="00DD6A50" w:rsidRDefault="00DD6A50" w:rsidP="00DD6A50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posOffset>7115175</wp:posOffset>
                </wp:positionV>
                <wp:extent cx="2476500" cy="1390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50" w:rsidRPr="00DD6A50" w:rsidRDefault="00DD6A50" w:rsidP="00DD6A5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D6A50">
                              <w:rPr>
                                <w:b/>
                                <w:u w:val="single"/>
                              </w:rPr>
                              <w:t>Learning Activities/Teaching Methods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Direct Patient Care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Observation and reflection w/ faculty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Discussion with IDT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Didactics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</w:pPr>
                            <w: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560.25pt;width:195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okJQIAAEwEAAAOAAAAZHJzL2Uyb0RvYy54bWysVNtu2zAMfR+wfxD0vtjJkrYx4hRdugwD&#10;ugvQ7gNkWY6FSaImKbGzry8lu5mx7WmYHwRRpI4OD0lvbnutyEk4L8GUdD7LKRGGQy3NoaTfnvZv&#10;bij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">
                <v:textbox>
                  <w:txbxContent>
                    <w:p w:rsidR="00DD6A50" w:rsidRPr="00DD6A50" w:rsidRDefault="00DD6A50" w:rsidP="00DD6A5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D6A50">
                        <w:rPr>
                          <w:b/>
                          <w:u w:val="single"/>
                        </w:rPr>
                        <w:t>Learning Activities/Teaching Methods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Direct Patient Care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Observation and reflection w/ faculty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Discussion with IDT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Didactics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</w:pPr>
                      <w:r>
                        <w:t>Reading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7115175</wp:posOffset>
                </wp:positionV>
                <wp:extent cx="3009900" cy="1388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50" w:rsidRPr="00DD6A50" w:rsidRDefault="00DD6A50" w:rsidP="00DD6A5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D6A50">
                              <w:rPr>
                                <w:b/>
                                <w:u w:val="single"/>
                              </w:rPr>
                              <w:t>General Competencies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 w:rsidRPr="00DD6A50">
                              <w:t>PC</w:t>
                            </w:r>
                            <w:r>
                              <w:tab/>
                              <w:t>Patient Care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>
                              <w:t>MK</w:t>
                            </w:r>
                            <w:r>
                              <w:tab/>
                              <w:t>Medical Knowledge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>
                              <w:t>PBLI</w:t>
                            </w:r>
                            <w:r>
                              <w:tab/>
                              <w:t>Practice-Based Learning &amp; Improvement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>
                              <w:t>ICS</w:t>
                            </w:r>
                            <w:r>
                              <w:tab/>
                              <w:t>Interpersonal &amp; Communication Skills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>
                              <w:t>P</w:t>
                            </w:r>
                            <w:r>
                              <w:tab/>
                              <w:t>Professionalism</w:t>
                            </w:r>
                          </w:p>
                          <w:p w:rsidR="00DD6A50" w:rsidRDefault="00DD6A50" w:rsidP="00DD6A50">
                            <w:pPr>
                              <w:spacing w:after="0"/>
                            </w:pPr>
                            <w:r>
                              <w:t>SBP</w:t>
                            </w:r>
                            <w:r>
                              <w:tab/>
                              <w:t>Systems-Based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60.25pt;width:237pt;height:109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">
                <v:textbox style="mso-fit-shape-to-text:t">
                  <w:txbxContent>
                    <w:p w:rsidR="00DD6A50" w:rsidRPr="00DD6A50" w:rsidRDefault="00DD6A50" w:rsidP="00DD6A5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D6A50">
                        <w:rPr>
                          <w:b/>
                          <w:u w:val="single"/>
                        </w:rPr>
                        <w:t>General Competencies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 w:rsidRPr="00DD6A50">
                        <w:t>PC</w:t>
                      </w:r>
                      <w:r>
                        <w:tab/>
                        <w:t>Patient Care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>
                        <w:t>MK</w:t>
                      </w:r>
                      <w:r>
                        <w:tab/>
                        <w:t>Medical Knowledge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>
                        <w:t>PBLI</w:t>
                      </w:r>
                      <w:r>
                        <w:tab/>
                        <w:t>Practice-Based Learning &amp; Improvement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>
                        <w:t>ICS</w:t>
                      </w:r>
                      <w:r>
                        <w:tab/>
                        <w:t>Interpersonal &amp; Communication Skills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>
                        <w:t>P</w:t>
                      </w:r>
                      <w:r>
                        <w:tab/>
                        <w:t>Professionalism</w:t>
                      </w:r>
                    </w:p>
                    <w:p w:rsidR="00DD6A50" w:rsidRDefault="00DD6A50" w:rsidP="00DD6A50">
                      <w:pPr>
                        <w:spacing w:after="0"/>
                      </w:pPr>
                      <w:r>
                        <w:t>SBP</w:t>
                      </w:r>
                      <w:r>
                        <w:tab/>
                        <w:t>Systems-Based Practice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7115175</wp:posOffset>
                </wp:positionV>
                <wp:extent cx="1819275" cy="1390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A50" w:rsidRPr="00DD6A50" w:rsidRDefault="00DD6A50" w:rsidP="00DD6A50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D6A50">
                              <w:rPr>
                                <w:b/>
                                <w:u w:val="single"/>
                              </w:rPr>
                              <w:t>Evaluation Methods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Attending Evaluation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Team Members Evaluation</w:t>
                            </w:r>
                          </w:p>
                          <w:p w:rsidR="00DD6A50" w:rsidRDefault="00DD6A50" w:rsidP="00DD6A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Self-Evaluation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4.5pt;margin-top:560.25pt;width:143.2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">
                <v:textbox>
                  <w:txbxContent>
                    <w:p w:rsidR="00DD6A50" w:rsidRPr="00DD6A50" w:rsidRDefault="00DD6A50" w:rsidP="00DD6A50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D6A50">
                        <w:rPr>
                          <w:b/>
                          <w:u w:val="single"/>
                        </w:rPr>
                        <w:t>Evaluation Methods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Attending Evaluation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Team Members Evaluation</w:t>
                      </w:r>
                    </w:p>
                    <w:p w:rsidR="00DD6A50" w:rsidRDefault="00DD6A50" w:rsidP="00DD6A5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Self-Evaluation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A1618">
        <w:rPr>
          <w:rFonts w:ascii="Calibri" w:eastAsia="Times New Roman" w:hAnsi="Calibri" w:cs="Times New Roman"/>
          <w:color w:val="000000"/>
        </w:rPr>
        <w:t>Upon completion of this rotation, fellow(s) will be able to:</w:t>
      </w:r>
    </w:p>
    <w:tbl>
      <w:tblPr>
        <w:tblW w:w="11250" w:type="dxa"/>
        <w:tblLayout w:type="fixed"/>
        <w:tblLook w:val="04A0" w:firstRow="1" w:lastRow="0" w:firstColumn="1" w:lastColumn="0" w:noHBand="0" w:noVBand="1"/>
      </w:tblPr>
      <w:tblGrid>
        <w:gridCol w:w="7295"/>
        <w:gridCol w:w="1430"/>
        <w:gridCol w:w="1177"/>
        <w:gridCol w:w="1348"/>
      </w:tblGrid>
      <w:tr w:rsidR="00DD6A50" w:rsidRPr="00DA1618" w:rsidTr="00DD6A50">
        <w:trPr>
          <w:trHeight w:val="645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50" w:rsidRPr="00DA1618" w:rsidRDefault="00DD6A50" w:rsidP="007E0F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b/>
                <w:bCs/>
                <w:color w:val="000000"/>
              </w:rPr>
              <w:t>Objective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Competency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b/>
                <w:bCs/>
                <w:color w:val="000000"/>
              </w:rPr>
              <w:t>Learning Activity Teaching Method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b/>
                <w:bCs/>
                <w:color w:val="000000"/>
              </w:rPr>
              <w:t>Evaluation Method</w:t>
            </w:r>
          </w:p>
        </w:tc>
      </w:tr>
      <w:tr w:rsidR="00DD6A50" w:rsidRPr="00DA1618" w:rsidTr="00DD6A50">
        <w:trPr>
          <w:trHeight w:val="30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Establish relationships with patient, family, caregivers in home environment.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PC,ICS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872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Understand the roles of interdisciplinary team (IDT) members in home environment; determine extent and complexity of coordinating people and physical services in home setting to establish personalized plan of care from admission to time of death.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PC,PBLI,ICS,P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80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Understand admission and recertification hospice eligibility criteria and maintaining supporting documentation. If the patient is no longer eligible, then the fellow will negotiate hospice discharge and coordinate appropriate referrals.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PC,SBP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80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Management of troublesome symptoms in the home setting and coordinating plan of care with attending physicians and IDT members. Negotiate the plan of care while advocating for patient/family goals.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MK,ICS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A,C</w:t>
            </w:r>
          </w:p>
        </w:tc>
      </w:tr>
      <w:tr w:rsidR="00DD6A50" w:rsidRPr="00DA1618" w:rsidTr="00DD6A50">
        <w:trPr>
          <w:trHeight w:val="53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Seeks to maximize patients’ level of function, quality of life, and comfort throughout the stages of disease progression of life limiting illness.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A,C</w:t>
            </w:r>
          </w:p>
        </w:tc>
      </w:tr>
      <w:tr w:rsidR="00DD6A50" w:rsidRPr="00DA1618" w:rsidTr="00DD6A50">
        <w:trPr>
          <w:trHeight w:val="53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Develop competency in goals of care conversation and discussing “futile” care at end of life (EOL) with the patients and families.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PC,MK,ICS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179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Effectively communicates and answers questions re.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disease</w:t>
            </w:r>
            <w:proofErr w:type="gramEnd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processes, common treatments and potential side effects, disease progression and consequences, prognosis. Demonstrate appropriate teaching to </w:t>
            </w:r>
            <w:proofErr w:type="spellStart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/family based on education and levels of sophistication in order to effectively communicate current or changes in plan of care. Identifies gaps in knowledge of pts/families and educates toward knowledge deficits. Anticipate potential EOL symptoms or issues in order to plan for symptom management at home as the </w:t>
            </w:r>
            <w:proofErr w:type="spellStart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declines.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PC,MK,ICS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800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Recognize common social problems experienced by patients and families; understand community resources and funding sources available. Recognize common distress regarding spiritual and existential issues.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PC,MK,SBP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A,B,C</w:t>
            </w:r>
          </w:p>
        </w:tc>
      </w:tr>
      <w:tr w:rsidR="00DD6A50" w:rsidRPr="00DA1618" w:rsidTr="00DD6A50">
        <w:trPr>
          <w:trHeight w:val="645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6A50" w:rsidRPr="00DA1618" w:rsidRDefault="00DD6A50" w:rsidP="007E0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Understands managed care nature of all services, equipment, and medications provided in home setting and coordinates plan of care based on cost-effectiveness and best practices.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PC,MK,SBP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1,2,3,4,5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50" w:rsidRPr="00DA1618" w:rsidRDefault="00DD6A50" w:rsidP="00DD6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1618">
              <w:rPr>
                <w:rFonts w:ascii="Calibri" w:eastAsia="Times New Roman" w:hAnsi="Calibri" w:cs="Times New Roman"/>
                <w:color w:val="000000"/>
              </w:rPr>
              <w:t>A,C</w:t>
            </w:r>
          </w:p>
        </w:tc>
      </w:tr>
    </w:tbl>
    <w:p w:rsidR="00DD6A50" w:rsidRDefault="00DD6A50" w:rsidP="00DD6A50">
      <w:pPr>
        <w:spacing w:after="0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</w:p>
    <w:p w:rsidR="00DD6A50" w:rsidRDefault="00DD6A50" w:rsidP="00DD6A50">
      <w:pPr>
        <w:spacing w:after="0"/>
      </w:pPr>
      <w:r w:rsidRPr="00DA1618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Method of Evaluation:</w:t>
      </w:r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 xml:space="preserve">  At the end of each clinical rotation, the f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aculty members will complete an e</w:t>
      </w:r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 xml:space="preserve">valuation in </w:t>
      </w:r>
      <w:proofErr w:type="spellStart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>MedHub</w:t>
      </w:r>
      <w:proofErr w:type="spellEnd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 xml:space="preserve"> that specifically addresses the six competencies and related sub-competencies. Faculty are encouraged to discuss their evaluations with the fellows and to provide them with feedback on their clinical performance. Members of the IDT will also complete an evaluation in </w:t>
      </w:r>
      <w:proofErr w:type="spellStart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>MedHub</w:t>
      </w:r>
      <w:proofErr w:type="spellEnd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 xml:space="preserve">. Fellows may be asked to complete self-evaluations of their competencies. Fellows will have access to the </w:t>
      </w:r>
      <w:proofErr w:type="spellStart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>MedHub</w:t>
      </w:r>
      <w:proofErr w:type="spellEnd"/>
      <w:r w:rsidRPr="00DA1618">
        <w:rPr>
          <w:rFonts w:ascii="Calibri" w:eastAsia="Times New Roman" w:hAnsi="Calibri" w:cs="Times New Roman"/>
          <w:color w:val="000000"/>
          <w:sz w:val="20"/>
          <w:szCs w:val="20"/>
        </w:rPr>
        <w:t xml:space="preserve"> evaluations.</w:t>
      </w:r>
      <w:bookmarkStart w:id="0" w:name="_GoBack"/>
      <w:bookmarkEnd w:id="0"/>
    </w:p>
    <w:sectPr w:rsidR="00DD6A50" w:rsidSect="00DD6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A0436"/>
    <w:multiLevelType w:val="hybridMultilevel"/>
    <w:tmpl w:val="8AE60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167C"/>
    <w:multiLevelType w:val="hybridMultilevel"/>
    <w:tmpl w:val="E55EEB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50"/>
    <w:rsid w:val="00554CA2"/>
    <w:rsid w:val="00C337A2"/>
    <w:rsid w:val="00D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090C4-00D5-4311-9BF2-51286DF9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554CA2"/>
    <w:pPr>
      <w:keepNext/>
      <w:keepLines/>
      <w:spacing w:before="480" w:after="120" w:line="240" w:lineRule="auto"/>
      <w:outlineLvl w:val="0"/>
    </w:pPr>
    <w:rPr>
      <w:rFonts w:ascii="Cambria" w:eastAsia="Times New Roman" w:hAnsi="Cambria" w:cs="Times New Roman"/>
      <w:b/>
      <w:color w:val="D78825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CA2"/>
    <w:rPr>
      <w:rFonts w:ascii="Cambria" w:eastAsia="Times New Roman" w:hAnsi="Cambria" w:cs="Times New Roman"/>
      <w:b/>
      <w:color w:val="D78825"/>
      <w:sz w:val="32"/>
      <w:szCs w:val="48"/>
    </w:rPr>
  </w:style>
  <w:style w:type="paragraph" w:styleId="ListParagraph">
    <w:name w:val="List Paragraph"/>
    <w:basedOn w:val="Normal"/>
    <w:uiPriority w:val="34"/>
    <w:qFormat/>
    <w:rsid w:val="00DD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Levreau</dc:creator>
  <cp:keywords/>
  <dc:description/>
  <cp:lastModifiedBy>Dawn Levreau</cp:lastModifiedBy>
  <cp:revision>1</cp:revision>
  <dcterms:created xsi:type="dcterms:W3CDTF">2019-04-18T14:37:00Z</dcterms:created>
  <dcterms:modified xsi:type="dcterms:W3CDTF">2019-04-18T14:48:00Z</dcterms:modified>
</cp:coreProperties>
</file>